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393d32f4e894b52" /></Relationships>
</file>

<file path=word/document.xml><?xml version="1.0" encoding="utf-8"?>
<w:document xmlns:w="http://schemas.openxmlformats.org/wordprocessingml/2006/main">
  <w:body/>
  <w:body>
    <w:p>
      <w:r>
        <w:rPr>
          <w:sz w:val="32"/>
          <w:b/>
        </w:rPr>
        <w:t>パンデミックのジェットコースターのような激変の後、アジア太平洋地域ではアミューズメント産業が急成長</w:t>
      </w:r>
    </w:p>
    <w:p>
      <w:r>
        <w:rPr>
          <w:sz w:val="28"/>
        </w:rPr>
        <w:t>International Association of Amusement Parks and Attractions (IAAPA)</w:t>
      </w:r>
    </w:p>
    <w:p>
      <w:r>
        <w:rPr>
          <w:sz w:val="26"/>
        </w:rPr>
        <w:t>【バンコク2024年5月23日メディアネット＝共同通信JBN】</w:t>
      </w:r>
    </w:p>
    <w:p>
      <w:pPr>
        <w:spacing w:before="0" w:after="238"/>
        <w:ind w:left="0" w:right="0"/>
        <w:jc w:val="left"/>
      </w:pPr>
      <w:r>
        <w:rPr>
          <w:rFonts w:ascii="ＭＳ 明朝" w:hAnsi="ＭＳ 明朝"/>
          <w:sz w:val="20"/>
        </w:rPr>
        <w:t xml:space="preserve">＊アジア太平洋（</w:t>
      </w:r>
      <w:r>
        <w:rPr>
          <w:rFonts w:ascii="Times New Roman" w:hAnsi="Times New Roman"/>
          <w:sz w:val="20"/>
        </w:rPr>
        <w:t xml:space="preserve">APAC</w:t>
      </w:r>
      <w:r>
        <w:rPr>
          <w:rFonts w:ascii="ＭＳ 明朝" w:hAnsi="ＭＳ 明朝"/>
          <w:sz w:val="20"/>
        </w:rPr>
        <w:t xml:space="preserve">）のアトラクション市場は生き残っているだけでなく、活況を呈しています。</w:t>
      </w:r>
      <w:r>
        <w:rPr>
          <w:rFonts w:ascii="Times New Roman" w:hAnsi="Times New Roman"/>
          <w:sz w:val="20"/>
        </w:rPr>
        <w:t xml:space="preserve">2024</w:t>
      </w:r>
      <w:r>
        <w:rPr>
          <w:rFonts w:ascii="ＭＳ 明朝" w:hAnsi="ＭＳ 明朝"/>
          <w:sz w:val="20"/>
        </w:rPr>
        <w:t xml:space="preserve">年末までに、テーマパークや遊園地への入場者数は約</w:t>
      </w:r>
      <w:r>
        <w:rPr>
          <w:rFonts w:ascii="Times New Roman" w:hAnsi="Times New Roman"/>
          <w:sz w:val="20"/>
        </w:rPr>
        <w:t xml:space="preserve">3</w:t>
      </w:r>
      <w:r>
        <w:rPr>
          <w:rFonts w:ascii="ＭＳ 明朝" w:hAnsi="ＭＳ 明朝"/>
          <w:sz w:val="20"/>
        </w:rPr>
        <w:t xml:space="preserve">億</w:t>
      </w:r>
      <w:r>
        <w:rPr>
          <w:rFonts w:ascii="Times New Roman" w:hAnsi="Times New Roman"/>
          <w:sz w:val="20"/>
        </w:rPr>
        <w:t xml:space="preserve">8500</w:t>
      </w:r>
      <w:r>
        <w:rPr>
          <w:rFonts w:ascii="ＭＳ 明朝" w:hAnsi="ＭＳ 明朝"/>
          <w:sz w:val="20"/>
        </w:rPr>
        <w:t xml:space="preserve">万人に、訪問者支出は</w:t>
      </w:r>
      <w:r>
        <w:rPr>
          <w:rFonts w:ascii="Times New Roman" w:hAnsi="Times New Roman"/>
          <w:sz w:val="20"/>
        </w:rPr>
        <w:t xml:space="preserve">168</w:t>
      </w:r>
      <w:r>
        <w:rPr>
          <w:rFonts w:ascii="ＭＳ 明朝" w:hAnsi="ＭＳ 明朝"/>
          <w:sz w:val="20"/>
        </w:rPr>
        <w:t xml:space="preserve">億米ドルに達し、この地域の訪問者数は（経済状況次第では）</w:t>
      </w:r>
      <w:r>
        <w:rPr>
          <w:rFonts w:ascii="Times New Roman" w:hAnsi="Times New Roman"/>
          <w:sz w:val="20"/>
        </w:rPr>
        <w:t xml:space="preserve">6</w:t>
      </w:r>
      <w:r>
        <w:rPr>
          <w:rFonts w:ascii="ＭＳ 明朝" w:hAnsi="ＭＳ 明朝"/>
          <w:sz w:val="20"/>
        </w:rPr>
        <w:t xml:space="preserve">億</w:t>
      </w:r>
      <w:r>
        <w:rPr>
          <w:rFonts w:ascii="Times New Roman" w:hAnsi="Times New Roman"/>
          <w:sz w:val="20"/>
        </w:rPr>
        <w:t xml:space="preserve">1900</w:t>
      </w:r>
      <w:r>
        <w:rPr>
          <w:rFonts w:ascii="ＭＳ 明朝" w:hAnsi="ＭＳ 明朝"/>
          <w:sz w:val="20"/>
        </w:rPr>
        <w:t xml:space="preserve">万－</w:t>
      </w:r>
      <w:r>
        <w:rPr>
          <w:rFonts w:ascii="Times New Roman" w:hAnsi="Times New Roman"/>
          <w:sz w:val="20"/>
        </w:rPr>
        <w:t xml:space="preserve">7</w:t>
      </w:r>
      <w:r>
        <w:rPr>
          <w:rFonts w:ascii="ＭＳ 明朝" w:hAnsi="ＭＳ 明朝"/>
          <w:sz w:val="20"/>
        </w:rPr>
        <w:t xml:space="preserve">億</w:t>
      </w:r>
      <w:r>
        <w:rPr>
          <w:rFonts w:ascii="Times New Roman" w:hAnsi="Times New Roman"/>
          <w:sz w:val="20"/>
        </w:rPr>
        <w:t xml:space="preserve">5000</w:t>
      </w:r>
      <w:r>
        <w:rPr>
          <w:rFonts w:ascii="ＭＳ 明朝" w:hAnsi="ＭＳ 明朝"/>
          <w:sz w:val="20"/>
        </w:rPr>
        <w:t xml:space="preserve">万人になる見通しです。</w:t>
      </w:r>
    </w:p>
    <w:p>
      <w:pPr>
        <w:spacing w:before="0" w:after="0"/>
        <w:ind w:left="0" w:right="0"/>
        <w:jc w:val="left"/>
      </w:pPr>
      <w:r>
        <w:rPr>
          <w:rFonts w:ascii="ＭＳ 明朝" w:hAnsi="ＭＳ 明朝"/>
          <w:sz w:val="20"/>
        </w:rPr>
        <w:t xml:space="preserve">＊地域のアミューズメント市場は</w:t>
      </w:r>
      <w:r>
        <w:rPr>
          <w:rFonts w:ascii="Times New Roman" w:hAnsi="Times New Roman"/>
          <w:sz w:val="20"/>
        </w:rPr>
        <w:t xml:space="preserve">67%</w:t>
      </w:r>
      <w:r>
        <w:rPr>
          <w:rFonts w:ascii="ＭＳ 明朝" w:hAnsi="ＭＳ 明朝"/>
          <w:sz w:val="20"/>
        </w:rPr>
        <w:t xml:space="preserve">増加すると予測され、中東に次ぐ成長率となっており、イノベーションと収益性の大きな可能性を示しています。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＊中国と日本は</w:t>
      </w:r>
      <w:r>
        <w:rPr>
          <w:rFonts w:ascii="Times New Roman" w:hAnsi="Times New Roman"/>
          <w:sz w:val="20"/>
        </w:rPr>
        <w:t xml:space="preserve">APAC</w:t>
      </w:r>
      <w:r>
        <w:rPr>
          <w:rFonts w:ascii="ＭＳ 明朝" w:hAnsi="ＭＳ 明朝"/>
          <w:sz w:val="20"/>
        </w:rPr>
        <w:t xml:space="preserve">のアミューズメント部門で最も好調な業績を上げており、今後</w:t>
      </w:r>
      <w:r>
        <w:rPr>
          <w:rFonts w:ascii="Times New Roman" w:hAnsi="Times New Roman"/>
          <w:sz w:val="20"/>
        </w:rPr>
        <w:t xml:space="preserve">3</w:t>
      </w:r>
      <w:r>
        <w:rPr>
          <w:rFonts w:ascii="ＭＳ 明朝" w:hAnsi="ＭＳ 明朝"/>
          <w:sz w:val="20"/>
        </w:rPr>
        <w:t xml:space="preserve">年間にわたって、地域の支出総額に占める両国の割合が増加すると予測されています。</w:t>
      </w:r>
    </w:p>
    <w:p>
      <w:pPr>
        <w:spacing w:before="0" w:after="238"/>
        <w:ind w:left="0" w:right="0"/>
        <w:jc w:val="left"/>
      </w:pPr>
      <w:r>
        <w:rPr>
          <w:rFonts w:ascii="Times New Roman" w:hAnsi="Times New Roman"/>
          <w:sz w:val="20"/>
        </w:rPr>
        <w:t xml:space="preserve"> </w:t>
      </w:r>
    </w:p>
    <w:p>
      <w:pPr>
        <w:spacing w:before="0" w:after="238"/>
        <w:ind w:left="0" w:right="0"/>
        <w:jc w:val="left"/>
      </w:pPr>
      <w:r>
        <w:rPr>
          <w:rFonts w:ascii="ＭＳ 明朝" w:hAnsi="ＭＳ 明朝"/>
          <w:sz w:val="20"/>
        </w:rPr>
        <w:t xml:space="preserve">世界のアミューズメント業界は、</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27</w:t>
      </w:r>
      <w:r>
        <w:rPr>
          <w:rFonts w:ascii="ＭＳ 明朝" w:hAnsi="ＭＳ 明朝"/>
          <w:sz w:val="20"/>
        </w:rPr>
        <w:t xml:space="preserve">日から</w:t>
      </w:r>
      <w:r>
        <w:rPr>
          <w:rFonts w:ascii="Times New Roman" w:hAnsi="Times New Roman"/>
          <w:sz w:val="20"/>
        </w:rPr>
        <w:t xml:space="preserve">30</w:t>
      </w:r>
      <w:r>
        <w:rPr>
          <w:rFonts w:ascii="ＭＳ 明朝" w:hAnsi="ＭＳ 明朝"/>
          <w:sz w:val="20"/>
        </w:rPr>
        <w:t xml:space="preserve">日まで開催されるこの種の地域最大の見本市、</w:t>
      </w:r>
      <w:r>
        <w:rPr>
          <w:rFonts w:ascii="Times New Roman" w:hAnsi="Times New Roman"/>
          <w:sz w:val="20"/>
        </w:rPr>
        <w:t xml:space="preserve">IAAPA Expo Asia 2024</w:t>
      </w:r>
      <w:r>
        <w:rPr>
          <w:rFonts w:ascii="ＭＳ 明朝" w:hAnsi="ＭＳ 明朝"/>
          <w:sz w:val="20"/>
        </w:rPr>
        <w:t xml:space="preserve">（</w:t>
      </w:r>
      <w:r>
        <w:rPr>
          <w:rFonts w:ascii="Times New Roman" w:hAnsi="Times New Roman"/>
          <w:sz w:val="20"/>
        </w:rPr>
        <w:t xml:space="preserve">2024</w:t>
      </w:r>
      <w:r>
        <w:rPr>
          <w:rFonts w:ascii="ＭＳ 明朝" w:hAnsi="ＭＳ 明朝"/>
          <w:sz w:val="20"/>
        </w:rPr>
        <w:t xml:space="preserve">年国際遊園地・アトラクション協会アジア博覧会）で、最新のイノベーションとトレンドを学ぶとともに、そのエキサイティングな未来を垣間見るため、バンコクに集結します。</w:t>
      </w:r>
    </w:p>
    <w:p>
      <w:pPr>
        <w:spacing w:before="0" w:after="238"/>
        <w:ind w:left="0" w:right="0"/>
        <w:jc w:val="left"/>
      </w:pPr>
      <w:r>
        <w:rPr>
          <w:rFonts w:ascii="ＭＳ 明朝" w:hAnsi="ＭＳ 明朝"/>
          <w:sz w:val="20"/>
        </w:rPr>
        <w:t xml:space="preserve">スリル満点の乗り物からロボティクス、安全機能、</w:t>
      </w:r>
      <w:r>
        <w:rPr>
          <w:rFonts w:ascii="Times New Roman" w:hAnsi="Times New Roman"/>
          <w:sz w:val="20"/>
        </w:rPr>
        <w:t xml:space="preserve">AI</w:t>
      </w:r>
      <w:r>
        <w:rPr>
          <w:rFonts w:ascii="ＭＳ 明朝" w:hAnsi="ＭＳ 明朝"/>
          <w:sz w:val="20"/>
        </w:rPr>
        <w:t xml:space="preserve">体験まで、バンコクの</w:t>
      </w:r>
      <w:r>
        <w:rPr>
          <w:rFonts w:ascii="Times New Roman" w:hAnsi="Times New Roman"/>
          <w:sz w:val="20"/>
        </w:rPr>
        <w:t xml:space="preserve">Queen Sirikit National Convention Centre</w:t>
      </w:r>
      <w:r>
        <w:rPr>
          <w:rFonts w:ascii="ＭＳ 明朝" w:hAnsi="ＭＳ 明朝"/>
          <w:sz w:val="20"/>
        </w:rPr>
        <w:t xml:space="preserve">（クイーン・シリキット・ナショナル・コンベンション・</w:t>
      </w:r>
      <w:r>
        <w:rPr>
          <w:rFonts w:ascii="Times New Roman" w:hAnsi="Times New Roman"/>
          <w:sz w:val="20"/>
        </w:rPr>
        <w:t xml:space="preserve"> </w:t>
      </w:r>
      <w:r>
        <w:rPr>
          <w:rFonts w:ascii="ＭＳ 明朝" w:hAnsi="ＭＳ 明朝"/>
          <w:sz w:val="20"/>
        </w:rPr>
        <w:t xml:space="preserve">センター）での</w:t>
      </w:r>
      <w:r>
        <w:rPr>
          <w:rFonts w:ascii="Times New Roman" w:hAnsi="Times New Roman"/>
          <w:sz w:val="20"/>
        </w:rPr>
        <w:t xml:space="preserve">3</w:t>
      </w:r>
      <w:r>
        <w:rPr>
          <w:rFonts w:ascii="ＭＳ 明朝" w:hAnsi="ＭＳ 明朝"/>
          <w:sz w:val="20"/>
        </w:rPr>
        <w:t xml:space="preserve">日間にわたる刺激的な国際祭典では、</w:t>
      </w:r>
      <w:r>
        <w:rPr>
          <w:rFonts w:ascii="Times New Roman" w:hAnsi="Times New Roman"/>
          <w:sz w:val="20"/>
        </w:rPr>
        <w:t xml:space="preserve">300</w:t>
      </w:r>
      <w:r>
        <w:rPr>
          <w:rFonts w:ascii="ＭＳ 明朝" w:hAnsi="ＭＳ 明朝"/>
          <w:sz w:val="20"/>
        </w:rPr>
        <w:t xml:space="preserve">を超える出展者によりアトラクション業界の最新の技術的進歩を紹介します。</w:t>
      </w:r>
    </w:p>
    <w:p>
      <w:pPr>
        <w:spacing w:before="0" w:after="238"/>
        <w:ind w:left="0" w:right="0"/>
        <w:jc w:val="left"/>
      </w:pPr>
      <w:r>
        <w:rPr>
          <w:rFonts w:ascii="Times New Roman" w:hAnsi="Times New Roman"/>
          <w:sz w:val="20"/>
        </w:rPr>
        <w:t xml:space="preserve">COVID</w:t>
      </w:r>
      <w:r>
        <w:rPr>
          <w:rFonts w:ascii="ＭＳ 明朝" w:hAnsi="ＭＳ 明朝"/>
          <w:sz w:val="20"/>
        </w:rPr>
        <w:t xml:space="preserve">（新型コロナウイルス感染症）のロックダウン、国境封鎖、制限によって最も大きな打撃を受けた業界の</w:t>
      </w:r>
      <w:r>
        <w:rPr>
          <w:rFonts w:ascii="Times New Roman" w:hAnsi="Times New Roman"/>
          <w:sz w:val="20"/>
        </w:rPr>
        <w:t xml:space="preserve">1</w:t>
      </w:r>
      <w:r>
        <w:rPr>
          <w:rFonts w:ascii="ＭＳ 明朝" w:hAnsi="ＭＳ 明朝"/>
          <w:sz w:val="20"/>
        </w:rPr>
        <w:t xml:space="preserve">つであるアミューズメント業界は、パンデミックから力強く復活し、</w:t>
      </w:r>
      <w:r>
        <w:rPr>
          <w:rFonts w:ascii="Times New Roman" w:hAnsi="Times New Roman"/>
          <w:sz w:val="20"/>
        </w:rPr>
        <w:t xml:space="preserve">2020</w:t>
      </w:r>
      <w:r>
        <w:rPr>
          <w:rFonts w:ascii="ＭＳ 明朝" w:hAnsi="ＭＳ 明朝"/>
          <w:sz w:val="20"/>
        </w:rPr>
        <w:t xml:space="preserve">年に失われた支出の</w:t>
      </w:r>
      <w:r>
        <w:rPr>
          <w:rFonts w:ascii="Times New Roman" w:hAnsi="Times New Roman"/>
          <w:sz w:val="20"/>
        </w:rPr>
        <w:t xml:space="preserve">98%</w:t>
      </w:r>
      <w:r>
        <w:rPr>
          <w:rFonts w:ascii="ＭＳ 明朝" w:hAnsi="ＭＳ 明朝"/>
          <w:sz w:val="20"/>
        </w:rPr>
        <w:t xml:space="preserve">という驚異的な数字を取り戻しました。同業界への世界的な支出総額は、</w:t>
      </w:r>
      <w:r>
        <w:rPr>
          <w:rFonts w:ascii="Times New Roman" w:hAnsi="Times New Roman"/>
          <w:sz w:val="20"/>
        </w:rPr>
        <w:t xml:space="preserve">2024</w:t>
      </w:r>
      <w:r>
        <w:rPr>
          <w:rFonts w:ascii="ＭＳ 明朝" w:hAnsi="ＭＳ 明朝"/>
          <w:sz w:val="20"/>
        </w:rPr>
        <w:t xml:space="preserve">年末までに</w:t>
      </w:r>
      <w:r>
        <w:rPr>
          <w:rFonts w:ascii="Times New Roman" w:hAnsi="Times New Roman"/>
          <w:sz w:val="20"/>
        </w:rPr>
        <w:t xml:space="preserve">587</w:t>
      </w:r>
      <w:r>
        <w:rPr>
          <w:rFonts w:ascii="ＭＳ 明朝" w:hAnsi="ＭＳ 明朝"/>
          <w:sz w:val="20"/>
        </w:rPr>
        <w:t xml:space="preserve">億米ドル近くに達すると予測されています。</w:t>
      </w:r>
    </w:p>
    <w:p>
      <w:pPr>
        <w:spacing w:before="0" w:after="238"/>
        <w:ind w:left="0" w:right="0"/>
        <w:jc w:val="left"/>
      </w:pPr>
      <w:r>
        <w:rPr>
          <w:rFonts w:ascii="Times New Roman" w:hAnsi="Times New Roman"/>
          <w:sz w:val="20"/>
        </w:rPr>
        <w:t xml:space="preserve">IAAPA Expo Asia Pacific</w:t>
      </w:r>
      <w:r>
        <w:rPr>
          <w:rFonts w:ascii="ＭＳ 明朝" w:hAnsi="ＭＳ 明朝"/>
          <w:sz w:val="20"/>
        </w:rPr>
        <w:t xml:space="preserve">の</w:t>
      </w:r>
      <w:r>
        <w:rPr>
          <w:rFonts w:ascii="Times New Roman" w:hAnsi="Times New Roman"/>
          <w:sz w:val="20"/>
        </w:rPr>
        <w:t xml:space="preserve">Jack Chan</w:t>
      </w:r>
      <w:r>
        <w:rPr>
          <w:rFonts w:ascii="ＭＳ 明朝" w:hAnsi="ＭＳ 明朝"/>
          <w:sz w:val="20"/>
        </w:rPr>
        <w:t xml:space="preserve">エグゼクティブディレクター兼バイスプレジデントは、持続的な人気と成長に貢献している主な要因は、娯楽・レクリエーション活動の普遍的な魅力であると述べました。</w:t>
      </w:r>
    </w:p>
    <w:p>
      <w:pPr>
        <w:spacing w:before="0" w:after="238"/>
        <w:ind w:left="0" w:right="0"/>
        <w:jc w:val="left"/>
      </w:pPr>
      <w:r>
        <w:rPr>
          <w:rFonts w:ascii="ＭＳ 明朝" w:hAnsi="ＭＳ 明朝"/>
          <w:sz w:val="20"/>
        </w:rPr>
        <w:t xml:space="preserve">同氏は「遊園地とテーマパークは、何百万もの人々に娯楽を提供するだけでなく、地域と世界の経済にも大きく貢献する文化現象です」と述べました。</w:t>
      </w:r>
    </w:p>
    <w:p>
      <w:pPr>
        <w:spacing w:before="0" w:after="238"/>
        <w:ind w:left="0" w:right="0"/>
        <w:jc w:val="left"/>
      </w:pPr>
      <w:r>
        <w:rPr>
          <w:rFonts w:ascii="ＭＳ 明朝" w:hAnsi="ＭＳ 明朝"/>
          <w:sz w:val="20"/>
        </w:rPr>
        <w:t xml:space="preserve">「私たちは、体験がこれまで以上に重視される時代に生きており、没入型エンターテインメントに対する消費者の欲求と期待が急速に高まっているため、業界プレーヤーのするべきことは、これらの課題に対応し、常にこのゲームで優位に立つことです―駄じゃれをお許しください」</w:t>
      </w:r>
    </w:p>
    <w:p>
      <w:pPr>
        <w:spacing w:before="0" w:after="238"/>
        <w:ind w:left="0" w:right="0"/>
        <w:jc w:val="left"/>
      </w:pPr>
      <w:r>
        <w:rPr>
          <w:rFonts w:ascii="ＭＳ 明朝" w:hAnsi="ＭＳ 明朝"/>
          <w:sz w:val="20"/>
        </w:rPr>
        <w:t xml:space="preserve">博覧会で紹介される主流のトレンドとソリューションには、以下のようなものがあります：</w:t>
      </w:r>
    </w:p>
    <w:p>
      <w:pPr>
        <w:spacing w:before="0" w:after="0"/>
        <w:ind w:left="0" w:right="0"/>
        <w:jc w:val="left"/>
      </w:pPr>
      <w:r>
        <w:rPr>
          <w:rFonts w:ascii="ＭＳ 明朝" w:hAnsi="ＭＳ 明朝"/>
          <w:sz w:val="20"/>
        </w:rPr>
        <w:t xml:space="preserve">＊視覚、聴覚、触覚、そして嗅覚も組み合わせた</w:t>
      </w:r>
      <w:r>
        <w:rPr>
          <w:rFonts w:ascii="Times New Roman" w:hAnsi="Times New Roman"/>
          <w:sz w:val="20"/>
        </w:rPr>
        <w:t xml:space="preserve">5D</w:t>
      </w:r>
      <w:r>
        <w:rPr>
          <w:rFonts w:ascii="ＭＳ 明朝" w:hAnsi="ＭＳ 明朝"/>
          <w:sz w:val="20"/>
        </w:rPr>
        <w:t xml:space="preserve">多感覚アトラクションの台頭</w:t>
      </w:r>
    </w:p>
    <w:p>
      <w:pPr>
        <w:spacing w:before="0" w:after="0"/>
        <w:ind w:left="0" w:right="0"/>
        <w:jc w:val="left"/>
      </w:pPr>
      <w:r>
        <w:rPr>
          <w:rFonts w:ascii="ＭＳ 明朝" w:hAnsi="ＭＳ 明朝"/>
          <w:sz w:val="20"/>
        </w:rPr>
        <w:t xml:space="preserve">＊廃棄物管理やエネルギー効率など、環境への影響と持続可能性を改善するための革新的アプローチ</w:t>
      </w:r>
    </w:p>
    <w:p>
      <w:pPr>
        <w:spacing w:before="0" w:after="0"/>
        <w:ind w:left="0" w:right="0"/>
        <w:jc w:val="left"/>
      </w:pPr>
      <w:r>
        <w:rPr>
          <w:rFonts w:ascii="ＭＳ 明朝" w:hAnsi="ＭＳ 明朝"/>
          <w:sz w:val="20"/>
        </w:rPr>
        <w:t xml:space="preserve">＊ゲスト体験の個人化に対する需要</w:t>
      </w:r>
    </w:p>
    <w:p>
      <w:pPr>
        <w:spacing w:before="0" w:after="238"/>
        <w:ind w:left="0" w:right="0"/>
        <w:jc w:val="left"/>
      </w:pPr>
      <w:r>
        <w:rPr>
          <w:rFonts w:ascii="ＭＳ 明朝" w:hAnsi="ＭＳ 明朝"/>
          <w:sz w:val="20"/>
        </w:rPr>
        <w:t xml:space="preserve">＊最先端の安全性と群集／行列管理技術</w:t>
      </w:r>
    </w:p>
    <w:p>
      <w:pPr>
        <w:spacing w:before="0" w:after="238"/>
        <w:ind w:left="0" w:right="0"/>
        <w:jc w:val="left"/>
      </w:pPr>
      <w:r>
        <w:rPr>
          <w:rFonts w:ascii="ＭＳ 明朝" w:hAnsi="ＭＳ 明朝"/>
          <w:sz w:val="20"/>
        </w:rPr>
        <w:t xml:space="preserve">見どころ満載の</w:t>
      </w:r>
      <w:r>
        <w:rPr>
          <w:rFonts w:ascii="Times New Roman" w:hAnsi="Times New Roman"/>
          <w:sz w:val="20"/>
        </w:rPr>
        <w:t xml:space="preserve">IAAPA Expo Asia 2024</w:t>
      </w:r>
      <w:r>
        <w:rPr>
          <w:rFonts w:ascii="ＭＳ 明朝" w:hAnsi="ＭＳ 明朝"/>
          <w:sz w:val="20"/>
        </w:rPr>
        <w:t xml:space="preserve">プログラムには、上海ディズニーリゾート（</w:t>
      </w:r>
      <w:r>
        <w:rPr>
          <w:rFonts w:ascii="Times New Roman" w:hAnsi="Times New Roman"/>
          <w:sz w:val="20"/>
        </w:rPr>
        <w:t xml:space="preserve">Shanghai Disney Resort</w:t>
      </w:r>
      <w:r>
        <w:rPr>
          <w:rFonts w:ascii="ＭＳ 明朝" w:hAnsi="ＭＳ 明朝"/>
          <w:sz w:val="20"/>
        </w:rPr>
        <w:t xml:space="preserve">）、香港ディズニーランド（</w:t>
      </w:r>
      <w:r>
        <w:rPr>
          <w:rFonts w:ascii="Times New Roman" w:hAnsi="Times New Roman"/>
          <w:sz w:val="20"/>
        </w:rPr>
        <w:t xml:space="preserve">Hong Kong Disneyland</w:t>
      </w:r>
      <w:r>
        <w:rPr>
          <w:rFonts w:ascii="ＭＳ 明朝" w:hAnsi="ＭＳ 明朝"/>
          <w:sz w:val="20"/>
        </w:rPr>
        <w:t xml:space="preserve">）、ユニバーサル・北京・リゾート（</w:t>
      </w:r>
      <w:r>
        <w:rPr>
          <w:rFonts w:ascii="Times New Roman" w:hAnsi="Times New Roman"/>
          <w:sz w:val="20"/>
        </w:rPr>
        <w:t xml:space="preserve">Universal Beijing Resort</w:t>
      </w:r>
      <w:r>
        <w:rPr>
          <w:rFonts w:ascii="ＭＳ 明朝" w:hAnsi="ＭＳ 明朝"/>
          <w:sz w:val="20"/>
        </w:rPr>
        <w:t xml:space="preserve">）、エンチャンテッド・キングダム（</w:t>
      </w:r>
      <w:r>
        <w:rPr>
          <w:rFonts w:ascii="Times New Roman" w:hAnsi="Times New Roman"/>
          <w:sz w:val="20"/>
        </w:rPr>
        <w:t xml:space="preserve">Enchanted Kingdom</w:t>
      </w:r>
      <w:r>
        <w:rPr>
          <w:rFonts w:ascii="ＭＳ 明朝" w:hAnsi="ＭＳ 明朝"/>
          <w:sz w:val="20"/>
        </w:rPr>
        <w:t xml:space="preserve">）（フィリピン）、ドリームワールド（</w:t>
      </w:r>
      <w:r>
        <w:rPr>
          <w:rFonts w:ascii="Times New Roman" w:hAnsi="Times New Roman"/>
          <w:sz w:val="20"/>
        </w:rPr>
        <w:t xml:space="preserve">Dreamworld</w:t>
      </w:r>
      <w:r>
        <w:rPr>
          <w:rFonts w:ascii="ＭＳ 明朝" w:hAnsi="ＭＳ 明朝"/>
          <w:sz w:val="20"/>
        </w:rPr>
        <w:t xml:space="preserve">）（オーストラリア）、スタジオシティ・マカオ（</w:t>
      </w:r>
      <w:r>
        <w:rPr>
          <w:rFonts w:ascii="Times New Roman" w:hAnsi="Times New Roman"/>
          <w:sz w:val="20"/>
        </w:rPr>
        <w:t xml:space="preserve">Studio City Macau</w:t>
      </w:r>
      <w:r>
        <w:rPr>
          <w:rFonts w:ascii="ＭＳ 明朝" w:hAnsi="ＭＳ 明朝"/>
          <w:sz w:val="20"/>
        </w:rPr>
        <w:t xml:space="preserve">）、ラーマヤナ・ウオーター・パーク（</w:t>
      </w:r>
      <w:r>
        <w:rPr>
          <w:rFonts w:ascii="Times New Roman" w:hAnsi="Times New Roman"/>
          <w:sz w:val="20"/>
        </w:rPr>
        <w:t xml:space="preserve">Ramayana Water Park</w:t>
      </w:r>
      <w:r>
        <w:rPr>
          <w:rFonts w:ascii="ＭＳ 明朝" w:hAnsi="ＭＳ 明朝"/>
          <w:sz w:val="20"/>
        </w:rPr>
        <w:t xml:space="preserve">）などの主要なパークや娯楽施設から主要講演者の素晴らしい顔ぶれが揃います。</w:t>
      </w:r>
    </w:p>
    <w:p>
      <w:pPr>
        <w:spacing w:before="0" w:after="238"/>
        <w:ind w:left="0" w:right="0"/>
        <w:jc w:val="left"/>
      </w:pPr>
      <w:r>
        <w:rPr>
          <w:rFonts w:ascii="ＭＳ 明朝" w:hAnsi="ＭＳ 明朝"/>
          <w:sz w:val="20"/>
        </w:rPr>
        <w:t xml:space="preserve">この博覧会は、遊園地やウオーターパークだけでなく、他のさまざまな分野も含めたアトラクション業界の全ての領域に対応します。</w:t>
      </w:r>
    </w:p>
    <w:p>
      <w:pPr>
        <w:spacing w:before="0" w:after="238"/>
        <w:ind w:left="0" w:right="0"/>
        <w:jc w:val="left"/>
      </w:pPr>
      <w:r>
        <w:rPr>
          <w:rFonts w:ascii="Times New Roman" w:hAnsi="Times New Roman"/>
          <w:sz w:val="20"/>
        </w:rPr>
        <w:t xml:space="preserve">Chan</w:t>
      </w:r>
      <w:r>
        <w:rPr>
          <w:rFonts w:ascii="ＭＳ 明朝" w:hAnsi="ＭＳ 明朝"/>
          <w:sz w:val="20"/>
        </w:rPr>
        <w:t xml:space="preserve">氏は「私たちのイベントは、家族向け娯楽施設、ロケーションベースのアトラクション、ブランド体験、動物園、水族館、博物館、科学センター、自然の観光名所、スタジアムなどのイベント施設、飲食事業者などを含むアトラクション産業全体を網羅しています」と語りました。</w:t>
      </w:r>
    </w:p>
    <w:p>
      <w:pPr>
        <w:spacing w:before="0" w:after="238"/>
        <w:ind w:left="0" w:right="0"/>
        <w:jc w:val="left"/>
      </w:pPr>
      <w:r>
        <w:rPr>
          <w:rFonts w:ascii="ＭＳ 明朝" w:hAnsi="ＭＳ 明朝"/>
          <w:sz w:val="20"/>
        </w:rPr>
        <w:t xml:space="preserve">今年のテーマ「</w:t>
      </w:r>
      <w:r>
        <w:rPr>
          <w:rFonts w:ascii="Times New Roman" w:hAnsi="Times New Roman"/>
          <w:sz w:val="20"/>
        </w:rPr>
        <w:t xml:space="preserve">Shape your evolution</w:t>
      </w:r>
      <w:r>
        <w:rPr>
          <w:rFonts w:ascii="ＭＳ 明朝" w:hAnsi="ＭＳ 明朝"/>
          <w:sz w:val="20"/>
        </w:rPr>
        <w:t xml:space="preserve">（進化を形作る）」は、教育と成長への重視を反映しています。業界のエキスパートや専門家は、参加者がビジネスを向上させるのを支援するための洞察と戦略を共有します。</w:t>
      </w:r>
    </w:p>
    <w:p>
      <w:pPr>
        <w:spacing w:before="0" w:after="238"/>
        <w:ind w:left="0" w:right="0"/>
        <w:jc w:val="left"/>
      </w:pPr>
      <w:r>
        <w:rPr>
          <w:rFonts w:ascii="ＭＳ 明朝" w:hAnsi="ＭＳ 明朝"/>
          <w:sz w:val="20"/>
        </w:rPr>
        <w:t xml:space="preserve">総合的な教育プログラムは、人材開発や商品から飲食業界（</w:t>
      </w:r>
      <w:r>
        <w:rPr>
          <w:rFonts w:ascii="Times New Roman" w:hAnsi="Times New Roman"/>
          <w:sz w:val="20"/>
        </w:rPr>
        <w:t xml:space="preserve">F&amp;B</w:t>
      </w:r>
      <w:r>
        <w:rPr>
          <w:rFonts w:ascii="ＭＳ 明朝" w:hAnsi="ＭＳ 明朝"/>
          <w:sz w:val="20"/>
        </w:rPr>
        <w:t xml:space="preserve">）のトレンドや収益多角化に至る幅広いトピックをカバーします。博覧会の</w:t>
      </w:r>
      <w:r>
        <w:rPr>
          <w:rFonts w:ascii="Times New Roman" w:hAnsi="Times New Roman"/>
          <w:sz w:val="20"/>
        </w:rPr>
        <w:t xml:space="preserve">EDUTours</w:t>
      </w:r>
      <w:r>
        <w:rPr>
          <w:rFonts w:ascii="ＭＳ 明朝" w:hAnsi="ＭＳ 明朝"/>
          <w:sz w:val="20"/>
        </w:rPr>
        <w:t xml:space="preserve">を利用することで、参加者はタイの最高の娯楽施設の舞台裏を特別見学し、施設の経営者から直接内部の知識を得ることができます。</w:t>
      </w:r>
    </w:p>
    <w:p>
      <w:pPr>
        <w:spacing w:before="0" w:after="238"/>
        <w:ind w:left="0" w:right="0"/>
        <w:jc w:val="left"/>
      </w:pPr>
      <w:r>
        <w:rPr>
          <w:rFonts w:ascii="Times New Roman" w:hAnsi="Times New Roman"/>
          <w:sz w:val="20"/>
        </w:rPr>
        <w:t xml:space="preserve">Chan</w:t>
      </w:r>
      <w:r>
        <w:rPr>
          <w:rFonts w:ascii="ＭＳ 明朝" w:hAnsi="ＭＳ 明朝"/>
          <w:sz w:val="20"/>
        </w:rPr>
        <w:t xml:space="preserve">氏は「あなたが多国籍企業の一員であろうと、小規模家族経営事業の一員であろうと、</w:t>
      </w:r>
      <w:r>
        <w:rPr>
          <w:rFonts w:ascii="Times New Roman" w:hAnsi="Times New Roman"/>
          <w:sz w:val="20"/>
        </w:rPr>
        <w:t xml:space="preserve">IAAPA Expo Asia</w:t>
      </w:r>
      <w:r>
        <w:rPr>
          <w:rFonts w:ascii="ＭＳ 明朝" w:hAnsi="ＭＳ 明朝"/>
          <w:sz w:val="20"/>
        </w:rPr>
        <w:t xml:space="preserve">はメーカー、サプライヤー、ビジネスリーダーとつながるための最も重要な業界イベントです」と語りました。</w:t>
      </w:r>
    </w:p>
    <w:p>
      <w:pPr>
        <w:spacing w:before="0" w:after="238"/>
        <w:ind w:left="0" w:right="0"/>
        <w:jc w:val="left"/>
      </w:pPr>
      <w:r>
        <w:rPr>
          <w:rFonts w:ascii="ＭＳ 明朝" w:hAnsi="ＭＳ 明朝"/>
          <w:sz w:val="20"/>
        </w:rPr>
        <w:t xml:space="preserve">「それは、ネットワークを作り、あなたの専門能力の開発を強化し、インスピレーションを刺激し、メーカー、同業者、その他の業界リーダーとつながるのに理想的な環境です」</w:t>
      </w:r>
    </w:p>
    <w:p>
      <w:pPr>
        <w:spacing w:before="0" w:after="238"/>
        <w:ind w:left="0" w:right="0"/>
        <w:jc w:val="left"/>
      </w:pPr>
      <w:r>
        <w:rPr>
          <w:rFonts w:ascii="ＭＳ 明朝" w:hAnsi="ＭＳ 明朝"/>
          <w:sz w:val="20"/>
        </w:rPr>
        <w:t xml:space="preserve">イベント情報と登録の詳細については</w:t>
      </w:r>
      <w:hyperlink xmlns:r="http://schemas.openxmlformats.org/officeDocument/2006/relationships" w:history="true" r:id="Rbf753633e59a41ca">
        <w:r>
          <w:rPr>
            <w:rStyle w:val="Hyperlink"/>
            <w:rFonts w:ascii="ＭＳ 明朝" w:hAnsi="ＭＳ 明朝"/>
            <w:sz w:val="20"/>
          </w:rPr>
          <w:t xml:space="preserve">こちら</w:t>
        </w:r>
      </w:hyperlink>
      <w:r>
        <w:rPr>
          <w:rFonts w:ascii="ＭＳ 明朝" w:hAnsi="ＭＳ 明朝"/>
          <w:sz w:val="20"/>
        </w:rPr>
        <w:t xml:space="preserve">を、出展者のリストについては</w:t>
      </w:r>
      <w:hyperlink xmlns:r="http://schemas.openxmlformats.org/officeDocument/2006/relationships" w:history="true" r:id="R48e3dbcb6c8841ae">
        <w:r>
          <w:rPr>
            <w:rStyle w:val="Hyperlink"/>
            <w:rFonts w:ascii="ＭＳ 明朝" w:hAnsi="ＭＳ 明朝"/>
            <w:sz w:val="20"/>
          </w:rPr>
          <w:t xml:space="preserve">こちら</w:t>
        </w:r>
      </w:hyperlink>
      <w:r>
        <w:rPr>
          <w:rFonts w:ascii="ＭＳ 明朝" w:hAnsi="ＭＳ 明朝"/>
          <w:sz w:val="20"/>
        </w:rPr>
        <w:t xml:space="preserve">をクリックしてください。</w:t>
      </w:r>
    </w:p>
    <w:p>
      <w:pPr>
        <w:spacing w:before="0" w:after="180"/>
        <w:ind w:left="0" w:right="0"/>
        <w:jc w:val="left"/>
      </w:pPr>
      <w:r>
        <w:rPr>
          <w:rFonts w:ascii="ＭＳ 明朝" w:hAnsi="ＭＳ 明朝"/>
          <w:b/>
          <w:sz w:val="20"/>
        </w:rPr>
        <w:t xml:space="preserve">▽</w:t>
      </w:r>
      <w:r>
        <w:rPr>
          <w:rFonts w:ascii="Times New Roman" w:hAnsi="Times New Roman"/>
          <w:b/>
          <w:sz w:val="20"/>
        </w:rPr>
        <w:t xml:space="preserve">IAAPA</w:t>
      </w:r>
      <w:r>
        <w:rPr>
          <w:rFonts w:ascii="ＭＳ 明朝" w:hAnsi="ＭＳ 明朝"/>
          <w:b/>
          <w:sz w:val="20"/>
        </w:rPr>
        <w:t xml:space="preserve">について</w:t>
      </w:r>
    </w:p>
    <w:p>
      <w:pPr>
        <w:spacing w:before="0" w:after="180"/>
        <w:ind w:left="0" w:right="0"/>
        <w:jc w:val="left"/>
      </w:pPr>
      <w:r>
        <w:rPr>
          <w:rFonts w:ascii="Times New Roman" w:hAnsi="Times New Roman"/>
          <w:sz w:val="20"/>
        </w:rPr>
        <w:t xml:space="preserve">IAAPA</w:t>
      </w:r>
      <w:r>
        <w:rPr>
          <w:rFonts w:ascii="ＭＳ 明朝" w:hAnsi="ＭＳ 明朝"/>
          <w:sz w:val="20"/>
        </w:rPr>
        <w:t xml:space="preserve">（国際遊園地・アトラクション協会）は、世界的なアトラクションの専門家で構成される多様でダイナミックなコミュニティーです。常設アトラクションの世界最大の事業者団体である</w:t>
      </w:r>
      <w:r>
        <w:rPr>
          <w:rFonts w:ascii="Times New Roman" w:hAnsi="Times New Roman"/>
          <w:sz w:val="20"/>
        </w:rPr>
        <w:t xml:space="preserve">IAAPA</w:t>
      </w:r>
      <w:r>
        <w:rPr>
          <w:rFonts w:ascii="ＭＳ 明朝" w:hAnsi="ＭＳ 明朝"/>
          <w:sz w:val="20"/>
        </w:rPr>
        <w:t xml:space="preserve">は、アトラクションのコミュニティーを統合し、人々が共に学び成長するよう結び付け、卓越性と安全性に対する最高の専門基準を世界中で推進するよう努めています。</w:t>
      </w:r>
    </w:p>
    <w:p>
      <w:pPr>
        <w:spacing w:before="0" w:after="180"/>
        <w:ind w:left="0" w:right="0"/>
        <w:jc w:val="left"/>
      </w:pPr>
      <w:r>
        <w:rPr>
          <w:rFonts w:ascii="Times New Roman" w:hAnsi="Times New Roman"/>
          <w:sz w:val="20"/>
        </w:rPr>
        <w:t xml:space="preserve">1918</w:t>
      </w:r>
      <w:r>
        <w:rPr>
          <w:rFonts w:ascii="ＭＳ 明朝" w:hAnsi="ＭＳ 明朝"/>
          <w:sz w:val="20"/>
        </w:rPr>
        <w:t xml:space="preserve">年に創設された</w:t>
      </w:r>
      <w:r>
        <w:rPr>
          <w:rFonts w:ascii="Times New Roman" w:hAnsi="Times New Roman"/>
          <w:sz w:val="20"/>
        </w:rPr>
        <w:t xml:space="preserve">IAAPA</w:t>
      </w:r>
      <w:r>
        <w:rPr>
          <w:rFonts w:ascii="ＭＳ 明朝" w:hAnsi="ＭＳ 明朝"/>
          <w:sz w:val="20"/>
        </w:rPr>
        <w:t xml:space="preserve">は、</w:t>
      </w:r>
      <w:r>
        <w:rPr>
          <w:rFonts w:ascii="Times New Roman" w:hAnsi="Times New Roman"/>
          <w:sz w:val="20"/>
        </w:rPr>
        <w:t xml:space="preserve">100</w:t>
      </w:r>
      <w:r>
        <w:rPr>
          <w:rFonts w:ascii="ＭＳ 明朝" w:hAnsi="ＭＳ 明朝"/>
          <w:sz w:val="20"/>
        </w:rPr>
        <w:t xml:space="preserve">カ国以上の主要な業界のアトラクションおよびサプライヤー企業、コンサルタント、および個人の会員を代表しています。会員には、遊園地、テーマパーク、アトラクション、ウオーターパーク、リゾート、家族向け娯楽施設、動物園、水族館、科学センター、博物館、クルーズ企業、メーカー、サプライヤーの専門家が含まれます。</w:t>
      </w:r>
    </w:p>
    <w:p>
      <w:pPr>
        <w:spacing w:before="0" w:after="180"/>
        <w:ind w:left="0" w:right="0"/>
        <w:jc w:val="left"/>
      </w:pPr>
      <w:r>
        <w:rPr>
          <w:rFonts w:ascii="ＭＳ 明朝" w:hAnsi="ＭＳ 明朝"/>
          <w:sz w:val="20"/>
        </w:rPr>
        <w:t xml:space="preserve">協会の世界本部と北米事務所は、米国フロリダ州オーランドにあります。</w:t>
      </w:r>
      <w:r>
        <w:rPr>
          <w:rFonts w:ascii="Times New Roman" w:hAnsi="Times New Roman"/>
          <w:sz w:val="20"/>
        </w:rPr>
        <w:t xml:space="preserve"> IAAPA</w:t>
      </w:r>
      <w:r>
        <w:rPr>
          <w:rFonts w:ascii="ＭＳ 明朝" w:hAnsi="ＭＳ 明朝"/>
          <w:sz w:val="20"/>
        </w:rPr>
        <w:t xml:space="preserve">はブリュッセル（ベルギー）、ドバイ（アラブ首長国連邦）、香港特別行政区（中国）、上海（中国）、メキシコ市（メキシコ）にも事務所を置いています。</w:t>
      </w:r>
    </w:p>
    <w:p>
      <w:pPr>
        <w:spacing w:before="0" w:after="180"/>
        <w:ind w:left="0" w:right="0"/>
        <w:jc w:val="left"/>
      </w:pPr>
      <w:r>
        <w:rPr>
          <w:rFonts w:ascii="Times New Roman" w:hAnsi="Times New Roman"/>
          <w:sz w:val="20"/>
        </w:rPr>
        <w:t xml:space="preserve"> </w:t>
      </w:r>
    </w:p>
    <w:p>
      <w:pPr>
        <w:spacing w:before="0" w:after="180"/>
        <w:ind w:left="0" w:right="0"/>
        <w:jc w:val="left"/>
      </w:pPr>
      <w:r>
        <w:rPr>
          <w:rFonts w:ascii="ＭＳ 明朝" w:hAnsi="ＭＳ 明朝"/>
          <w:sz w:val="20"/>
        </w:rPr>
        <w:t xml:space="preserve">ソース：</w:t>
      </w:r>
      <w:r>
        <w:rPr>
          <w:rFonts w:ascii="Times New Roman" w:hAnsi="Times New Roman"/>
          <w:sz w:val="20"/>
        </w:rPr>
        <w:t xml:space="preserve">International Association of Amusement Parks and Attractions (IAAPA)</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www.iaapa.org/expos/iaapa-expo-asia?utm_source=press-release&amp;amp;amp;utm_medium=email&amp;amp;amp;utm_campaign=expo-asia-24-reg-open" TargetMode="External" Id="Rbf753633e59a41ca" /><Relationship Type="http://schemas.openxmlformats.org/officeDocument/2006/relationships/styles" Target="/word/styles.xml" Id="Rf470fa9249c24dc6" /><Relationship Type="http://schemas.openxmlformats.org/officeDocument/2006/relationships/hyperlink" Target="https://www.iaapa.org/expos/iaapa-expo-asia-2024/exhibitors-list" TargetMode="External" Id="R48e3dbcb6c8841ae" /></Relationships>
</file>