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cbcd985664432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บริษัท ยามาโตะ โฮลดิงส์ จำกัด เปิดตัวบริการขนส่งต่อเนื่องหลายรูปแบบระหว่างประเทศทางรถบรรทุกและรถไฟ เชื่อมโยงเอเชียตะวันออกเฉียงใต้กับยุโรป เริ่มตั้งแต่วันที่ 1 พฤษภาคม 2567</w:t>
      </w:r>
    </w:p>
    <w:p>
      <w:r>
        <w:rPr>
          <w:sz w:val="28"/>
        </w:rPr>
        <w:t>บริษัท ยามาโตะ โฮลดิงส์ จำกัด</w:t>
      </w:r>
    </w:p>
    <w:p>
      <w:r>
        <w:rPr>
          <w:sz w:val="26"/>
        </w:rPr>
        <w:t>โตเกียว, 2 พฤษภาคม 2567 /เกียวโด เจบีเอ็น-เอเชียเน็ท/ดาต้าเซ็ต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- รองรับการจัดตั้งซัพพลายเชนที่มีความยืดหยุ่นในระดับโลก เพื่อรับมือความเสี่ยงทางภูมิรัฐศาสตร์ -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บริษัท ยามาโตะ โฮลดิงส์ จำกัด (</w:t>
      </w:r>
      <w:r>
        <w:rPr>
          <w:rFonts w:ascii="Tahoma" w:hAnsi="Tahoma"/>
          <w:sz w:val="24"/>
        </w:rPr>
        <w:t xml:space="preserve">Yamato Holdings Co., Ltd.) ซึ่งมีสำนักงานใหญ่อยู่ในกรุงโตเกียว ได้เปิดตัวบริการขนส่งต่อเนื่องหลายรูปแบบระหว่างประเทศทางรถบรรทุกและรถไฟ โดยเชื่อมโยงเอเชียตะวันออกเฉียงใต้กับยุโรป เริ่มตั้งแต่วันที่ 1 พฤษภาคม 2567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โลโก้</w:t>
      </w:r>
      <w:r>
        <w:rPr>
          <w:rFonts w:ascii="Tahoma" w:hAnsi="Tahoma"/>
          <w:sz w:val="24"/>
        </w:rPr>
        <w:t xml:space="preserve">: </w:t>
      </w:r>
      <w:hyperlink xmlns:r="http://schemas.openxmlformats.org/officeDocument/2006/relationships" w:history="true" r:id="Re184740249464873">
        <w:r>
          <w:rPr>
            <w:rStyle w:val="Hyperlink"/>
            <w:rFonts w:ascii="Tahoma" w:hAnsi="Tahoma"/>
            <w:sz w:val="24"/>
          </w:rPr>
          <w:t xml:space="preserve">https://cdn.kyodonewsprwire.jp/prwfile/release/M106587/202404249931/_prw_PI1fl_17kUqzDz.jpg</w:t>
        </w:r>
      </w:hyperlink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1. ความเป็นมาและวัตถุประสงค์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ภูมิภาคเอเชียตะวันออกเฉียงใต้เป็นแหล่งรวมโรงงานผลิตผลิตภัณฑ์ที่เกี่ยวข้องกับอิเล็กทรอนิกส์และชิ้นส่วนยานยนต์จากหลาย ๆ ประเทศทั่วโลก เมื่อผลิตเสร็จแล้วก็ขนส่งสินค้าเหล่านั้นไปตลาดต่าง ๆ ทั่วโลก โดยที่ผ่านมานั้น เส้นทางเดินทะเลที่สั้นที่สุดคือคลองสุเอซ ซึ่งถูกใช้เป็นช่องทางหลักในการขนส่งสินค้าจากเอเชียตะวันออกเฉียงใต้ไปยังตลาดยุโรป อย่างไรก็ตาม ตั้งแต่ปลายปี </w:t>
      </w:r>
      <w:r>
        <w:rPr>
          <w:rFonts w:ascii="Tahoma" w:hAnsi="Tahoma"/>
          <w:sz w:val="24"/>
        </w:rPr>
        <w:t xml:space="preserve">2566 ก็มีกลุ่มกองกำลังใช้อาวุธโจมตีเรือขนส่งสินค้าในทะเลแดงและน่านน้ำใกล้เคียง ส่งผลให้เรือหลายลำต้องเปลี่ยนไปใช้เส้นทางที่ยาวขึ้น โดยอ้อมแหลมกู๊ดโฮปในแอฟริกาใต้ ซึ่งส่งผลกระทบอย่างมีนัยสำคัญต่อระบบโลจิสติกส์และเศรษฐกิจโลก กว่าสินค้าจะไปถึงปลายทางก็ต้องรอนานกว่าเดิมถึง 20 วันเมื่อเทียบกับเส้นทางคลองสุเอซ ส่งผลให้อัตราค่าขนส่งทางทะเลและค่าประกันภัยเพิ่มขึ้นมากเพราะต้องแล่นอ้อม นอกจากนี้ ความเสี่ยงทางภูมิรัฐศาสตร์ก็ปรากฏให้เห็นชัดขึ้นเรื่อย ๆ สะท้อนให้เห็นความจำเป็นเร่งด่วนในการจัดตั้งซัพพลายเชนที่มีความเข้มแข็งในระดับโลกที่ปรับตัวได้อย่างรวดเร็ว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ยามาโตะ โฮลดิงส์ ได้เข้ามาช่วยลูกค้าสร้างซัพพลายเชนใน 24 ประเทศและภูมิภาคทั่วโลก นอกจากนี้ บริษัทในเครืออย่างโอเวอร์แลนด์ โทเทิล โลจิสติก เซอร์วิสเซส เอ็ม (</w:t>
      </w:r>
      <w:r>
        <w:rPr>
          <w:rFonts w:ascii="Tahoma" w:hAnsi="Tahoma"/>
          <w:sz w:val="24"/>
        </w:rPr>
        <w:t xml:space="preserve">Overland Total Logistic Services (M) Sdn. Bhd.) ในมาเลเซีย ก็ได้ให้บริการขนส่งทางรถบรรทุกข้ามพรมแดน โดยใช้รถพ่วงบรรทุกตู้คอนเทนเนอร์ระหว่างประเทศในเอเชียตะวันออกเฉียงใต้ (*) กับจีนมาตั้งแต่ปี 2544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เพื่อสร้างซัพพลายเชนระดับโลกที่มีความยืดหยุ่นระหว่างเอเชียตะวันออกเฉียงใต้กับยุโรป ยามาโตะ โฮลดิงส์ ได้เปิดตัวบริการขนส่งต่อเนื่องหลายรูปแบบระหว่างประเทศทางรถบรรทุกและรถไฟเมื่อวันที่ 1 พฤษภาคม 2567 โดยการขนส่งช่องทางใหม่นี้มอบการเชื่อมต่อที่ราบรื่นยิ่งขึ้นให้กับลูกค้า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ในภายภาคหน้า บริษัทฯ จะยังคงนำเสนอโซลูชันที่ช่วยเพิ่มประสิทธิภาพให้กับซัพพลายเชนของลูกค้าทั่วโลก โดยมีเป้าหมายเพื่อลดต้นทุนด้านโลจิสติกส์ในภาพรวม พร้อมปรับปรุงประสิทธิภาพในการผลิต และลดผลกระทบต่อสิ่งแวดล้อม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(*) สิงคโปร์ มาเลเซีย ไทย ลาว เวียดนาม และกัมพูชา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2. ภาพรวมบริการ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ยามาโตะ โฮลดิงส์ อาศัยเครือข่ายการขนส่งด้วยรถบรรทุกของโอเวอร์แลนด์ โทเทิล โลจิสติก เซอร์วิสเซส รองรับบริการในส่วนเอเชียตะวันออกเฉียงใต้-จีน และร่วมมือกับผู้ให้บริการทางรถไฟในส่วนจีน-ยุโรป เพื่อให้บริการขนส่งตามจุดหมายปลายทางต่าง ๆ ได้อย่างราบรื่น โซลูชันนี้ใช้เวลาขนส่งสั้นกว่าการขนส่งทางทะเลผ่านแหลมกู๊ดโฮป ทั้งยังมีต้นทุนต่ำกว่าและปล่อยก๊าซเรือนกระจกน้อยกว่าการขนส่งทางอากาศด้วย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ตัวอย่างขั้นตอนในการให้บริการ: การขนส่งต่อเนื่องหลายรูปแบบระหว่างประเทศจากไทยไปเยอรมนี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รูปภาพ</w:t>
      </w:r>
      <w:r>
        <w:rPr>
          <w:rFonts w:ascii="Tahoma" w:hAnsi="Tahoma"/>
          <w:sz w:val="24"/>
        </w:rPr>
        <w:t xml:space="preserve">: </w:t>
      </w:r>
      <w:hyperlink xmlns:r="http://schemas.openxmlformats.org/officeDocument/2006/relationships" w:history="true" r:id="Rc1c3073d706344f4">
        <w:r>
          <w:rPr>
            <w:rStyle w:val="Hyperlink"/>
            <w:rFonts w:ascii="Tahoma" w:hAnsi="Tahoma"/>
            <w:sz w:val="24"/>
          </w:rPr>
          <w:t xml:space="preserve">https://cdn.kyodonewsprwire.jp/prwfile/release/M106587/202404249931/_prw_PI2fl_pCOk6x48.jpg</w:t>
        </w:r>
      </w:hyperlink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- วันที่เริ่มให้บริการ: 1 พฤษภาคม 2567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- พื้นที่ที่ให้บริการ: เอเชียตะวันออกเฉียงใต้ (สิงคโปร์ มาเลเซีย ไทย ลาว เวียดนาม และกัมพูชา) ไปยังยุโรป (ยกเว้นยูเครนและเบลารุส) จนถึงจุดหมายปลายทางการจัดส่งตามที่ระบุ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- วิธีขนส่ง: เช่าตู้คอนเทนเนอร์หรือจัดส่งแบบรวมเที่ยวตามปริมาณสินค้า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อ้างอิง: เส้นทางการขนส่งจากเอเชียตะวันออกเฉียงใต้ไปยังยุโรป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hyperlink xmlns:r="http://schemas.openxmlformats.org/officeDocument/2006/relationships" w:history="true" r:id="R47a0fc17468c4d17">
        <w:r>
          <w:rPr>
            <w:rStyle w:val="Hyperlink"/>
            <w:rFonts w:ascii="Tahoma" w:hAnsi="Tahoma"/>
            <w:sz w:val="24"/>
          </w:rPr>
          <w:t xml:space="preserve">https://cdn.kyodonewsprwire.jp/prwfile/release/M106587/202404249931/_prw_PI3fl_P4nIbG34.jpg</w:t>
        </w:r>
      </w:hyperlink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Calibri" w:hAnsi="Calibri"/>
          <w:sz w:val="22"/>
        </w:rPr>
        <w:t xml:space="preserve"> </w:t>
      </w:r>
    </w:p>
    <w:p>
      <w:pPr>
        <w:pBdr>
          <w:top w:val="none" w:color="000000" w:sz="16" w:space="1"/>
          <w:left w:val="none" w:color="000000" w:sz="16" w:space="1"/>
          <w:bottom w:val="none" w:color="000000" w:sz="16" w:space="1"/>
          <w:right w:val="none" w:color="000000" w:sz="16" w:space="1"/>
        </w:pBdr>
        <w:spacing w:before="0" w:after="0"/>
        <w:ind w:left="0" w:right="0"/>
      </w:pPr>
      <w:r>
        <w:rPr>
          <w:rFonts w:ascii="Tahoma" w:hAnsi="Tahoma"/>
          <w:sz w:val="24"/>
        </w:rPr>
        <w:t xml:space="preserve">ที่มา</w:t>
      </w:r>
      <w:r>
        <w:rPr>
          <w:rFonts w:ascii="Tahoma" w:hAnsi="Tahoma"/>
          <w:sz w:val="24"/>
        </w:rPr>
        <w:t xml:space="preserve">: บริษัท ยามาโตะ โฮลดิงส์ จำกัด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dn.kyodonewsprwire.jp/prwfile/release/M106587/202404249931/_prw_PI1fl_17kUqzDz.jpg" TargetMode="External" Id="Re184740249464873" /><Relationship Type="http://schemas.openxmlformats.org/officeDocument/2006/relationships/styles" Target="/word/styles.xml" Id="R4e588fbdcc4a4596" /><Relationship Type="http://schemas.openxmlformats.org/officeDocument/2006/relationships/hyperlink" Target="https://cdn.kyodonewsprwire.jp/prwfile/release/M106587/202404249931/_prw_PI2fl_pCOk6x48.jpg" TargetMode="External" Id="Rc1c3073d706344f4" /><Relationship Type="http://schemas.openxmlformats.org/officeDocument/2006/relationships/hyperlink" Target="https://cdn.kyodonewsprwire.jp/prwfile/release/M106587/202404249931/_prw_PI3fl_P4nIbG34.jpg" TargetMode="External" Id="R47a0fc17468c4d17" /></Relationships>
</file>