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814c8ea9244095" /></Relationships>
</file>

<file path=word/document.xml><?xml version="1.0" encoding="utf-8"?>
<w:document xmlns:w="http://schemas.openxmlformats.org/wordprocessingml/2006/main">
  <w:body/>
  <w:body>
    <w:p>
      <w:r>
        <w:rPr>
          <w:sz w:val="32"/>
          <w:b/>
        </w:rPr>
        <w:t>Avaada Energyがインドラジャスタン州の4つの太陽光発電プロジェクトに対する約5億3500万米ドルの借り換えを完了</w:t>
      </w:r>
    </w:p>
    <w:p>
      <w:r>
        <w:rPr>
          <w:sz w:val="28"/>
        </w:rPr>
        <w:t>Avaada Group </w:t>
      </w:r>
    </w:p>
    <w:p>
      <w:r>
        <w:rPr>
          <w:sz w:val="26"/>
        </w:rPr>
        <w:t>【ムンバイ（インド）2024年5月8日Dataxet＝共同通信JBN】</w:t>
      </w:r>
    </w:p>
    <w:p>
      <w:pPr>
        <w:spacing w:before="0" w:after="0"/>
        <w:ind w:left="0" w:right="0"/>
        <w:jc w:val="both"/>
      </w:pPr>
      <w:r>
        <w:rPr>
          <w:rFonts w:ascii="Times New Roman" w:hAnsi="Times New Roman"/>
          <w:sz w:val="20"/>
        </w:rPr>
        <w:t xml:space="preserve">Avaada Group</w:t>
      </w:r>
      <w:r>
        <w:rPr>
          <w:rFonts w:ascii="ＭＳ 明朝" w:hAnsi="ＭＳ 明朝"/>
          <w:sz w:val="20"/>
        </w:rPr>
        <w:t xml:space="preserve">の再生可能エネルギー部門である</w:t>
      </w:r>
      <w:r>
        <w:rPr>
          <w:rFonts w:ascii="Times New Roman" w:hAnsi="Times New Roman"/>
          <w:sz w:val="20"/>
        </w:rPr>
        <w:t xml:space="preserve">Avaada Energy</w:t>
      </w:r>
      <w:r>
        <w:rPr>
          <w:rFonts w:ascii="ＭＳ 明朝" w:hAnsi="ＭＳ 明朝"/>
          <w:sz w:val="20"/>
        </w:rPr>
        <w:t xml:space="preserve">は、インドの再生可能エネルギー部門で最大級の借り換え取引を成功させ、国営金融機関の</w:t>
      </w:r>
      <w:r>
        <w:rPr>
          <w:rFonts w:ascii="Times New Roman" w:hAnsi="Times New Roman"/>
          <w:sz w:val="20"/>
        </w:rPr>
        <w:t xml:space="preserve">National Bank for Financing Infrastructure and Development</w:t>
      </w:r>
      <w:r>
        <w:rPr>
          <w:rFonts w:ascii="ＭＳ 明朝" w:hAnsi="ＭＳ 明朝"/>
          <w:sz w:val="20"/>
        </w:rPr>
        <w:t xml:space="preserve">（</w:t>
      </w:r>
      <w:r>
        <w:rPr>
          <w:rFonts w:ascii="Times New Roman" w:hAnsi="Times New Roman"/>
          <w:sz w:val="20"/>
        </w:rPr>
        <w:t xml:space="preserve">NaBFID</w:t>
      </w:r>
      <w:r>
        <w:rPr>
          <w:rFonts w:ascii="ＭＳ 明朝" w:hAnsi="ＭＳ 明朝"/>
          <w:sz w:val="20"/>
        </w:rPr>
        <w:t xml:space="preserve">）から</w:t>
      </w:r>
      <w:r>
        <w:rPr>
          <w:rFonts w:ascii="ＭＳ 明朝" w:hAnsi="ＭＳ 明朝"/>
          <w:sz w:val="20"/>
        </w:rPr>
        <w:t xml:space="preserve">約</w:t>
      </w:r>
      <w:r>
        <w:rPr>
          <w:rFonts w:ascii="Times New Roman" w:hAnsi="Times New Roman"/>
          <w:sz w:val="20"/>
        </w:rPr>
        <w:t xml:space="preserve">5</w:t>
      </w:r>
      <w:r>
        <w:rPr>
          <w:rFonts w:ascii="ＭＳ 明朝" w:hAnsi="ＭＳ 明朝"/>
          <w:sz w:val="20"/>
        </w:rPr>
        <w:t xml:space="preserve">億</w:t>
      </w:r>
      <w:r>
        <w:rPr>
          <w:rFonts w:ascii="Times New Roman" w:hAnsi="Times New Roman"/>
          <w:sz w:val="20"/>
        </w:rPr>
        <w:t xml:space="preserve">3500</w:t>
      </w:r>
      <w:r>
        <w:rPr>
          <w:rFonts w:ascii="ＭＳ 明朝" w:hAnsi="ＭＳ 明朝"/>
          <w:sz w:val="20"/>
        </w:rPr>
        <w:t xml:space="preserve">万米ドルを調達したと発表しました。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この借り換え取引は、</w:t>
      </w:r>
      <w:r>
        <w:rPr>
          <w:rFonts w:ascii="Times New Roman" w:hAnsi="Times New Roman"/>
          <w:sz w:val="20"/>
        </w:rPr>
        <w:t xml:space="preserve">Restricted Group</w:t>
      </w:r>
      <w:r>
        <w:rPr>
          <w:rFonts w:ascii="ＭＳ 明朝" w:hAnsi="ＭＳ 明朝"/>
          <w:sz w:val="20"/>
        </w:rPr>
        <w:t xml:space="preserve">（</w:t>
      </w:r>
      <w:r>
        <w:rPr>
          <w:rFonts w:ascii="Times New Roman" w:hAnsi="Times New Roman"/>
          <w:sz w:val="20"/>
        </w:rPr>
        <w:t xml:space="preserve">RG</w:t>
      </w:r>
      <w:r>
        <w:rPr>
          <w:rFonts w:ascii="ＭＳ 明朝" w:hAnsi="ＭＳ 明朝"/>
          <w:sz w:val="20"/>
        </w:rPr>
        <w:t xml:space="preserve">）構造の下で行われ、ラジャスタン州で合計</w:t>
      </w:r>
      <w:r>
        <w:rPr>
          <w:rFonts w:ascii="Times New Roman" w:hAnsi="Times New Roman"/>
          <w:sz w:val="20"/>
        </w:rPr>
        <w:t xml:space="preserve">1700MWp</w:t>
      </w:r>
      <w:r>
        <w:rPr>
          <w:rFonts w:ascii="ＭＳ 明朝" w:hAnsi="ＭＳ 明朝"/>
          <w:sz w:val="20"/>
        </w:rPr>
        <w:t xml:space="preserve">の容量を持つ</w:t>
      </w:r>
      <w:r>
        <w:rPr>
          <w:rFonts w:ascii="Times New Roman" w:hAnsi="Times New Roman"/>
          <w:sz w:val="20"/>
        </w:rPr>
        <w:t xml:space="preserve">ISTS</w:t>
      </w:r>
      <w:r>
        <w:rPr>
          <w:rFonts w:ascii="ＭＳ 明朝" w:hAnsi="ＭＳ 明朝"/>
          <w:sz w:val="20"/>
        </w:rPr>
        <w:t xml:space="preserve">に接続された</w:t>
      </w:r>
      <w:r>
        <w:rPr>
          <w:rFonts w:ascii="Times New Roman" w:hAnsi="Times New Roman"/>
          <w:sz w:val="20"/>
        </w:rPr>
        <w:t xml:space="preserve">4</w:t>
      </w:r>
      <w:r>
        <w:rPr>
          <w:rFonts w:ascii="ＭＳ 明朝" w:hAnsi="ＭＳ 明朝"/>
          <w:sz w:val="20"/>
        </w:rPr>
        <w:t xml:space="preserve">つの太陽光発電プロジェクトを網羅しています。</w:t>
      </w:r>
      <w:r>
        <w:rPr>
          <w:rFonts w:ascii="Times New Roman" w:hAnsi="Times New Roman"/>
          <w:sz w:val="20"/>
        </w:rPr>
        <w:t xml:space="preserve"> </w:t>
      </w:r>
      <w:r>
        <w:rPr>
          <w:rFonts w:ascii="ＭＳ 明朝" w:hAnsi="ＭＳ 明朝"/>
          <w:sz w:val="20"/>
        </w:rPr>
        <w:t xml:space="preserve">この構造は</w:t>
      </w:r>
      <w:r>
        <w:rPr>
          <w:rFonts w:ascii="Times New Roman" w:hAnsi="Times New Roman"/>
          <w:sz w:val="20"/>
        </w:rPr>
        <w:t xml:space="preserve"> CareEdge Ratings </w:t>
      </w:r>
      <w:r>
        <w:rPr>
          <w:rFonts w:ascii="ＭＳ 明朝" w:hAnsi="ＭＳ 明朝"/>
          <w:sz w:val="20"/>
        </w:rPr>
        <w:t xml:space="preserve">によって「</w:t>
      </w:r>
      <w:r>
        <w:rPr>
          <w:rFonts w:ascii="Times New Roman" w:hAnsi="Times New Roman"/>
          <w:sz w:val="20"/>
        </w:rPr>
        <w:t xml:space="preserve">AA</w:t>
      </w:r>
      <w:r>
        <w:rPr>
          <w:rFonts w:ascii="ＭＳ 明朝" w:hAnsi="ＭＳ 明朝"/>
          <w:sz w:val="20"/>
        </w:rPr>
        <w:t xml:space="preserve">（安定的）」に格付けされています。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この借り換えは、持続可能な未来に向けた</w:t>
      </w:r>
      <w:r>
        <w:rPr>
          <w:rFonts w:ascii="Times New Roman" w:hAnsi="Times New Roman"/>
          <w:sz w:val="20"/>
        </w:rPr>
        <w:t xml:space="preserve">Avaada</w:t>
      </w:r>
      <w:r>
        <w:rPr>
          <w:rFonts w:ascii="ＭＳ 明朝" w:hAnsi="ＭＳ 明朝"/>
          <w:sz w:val="20"/>
        </w:rPr>
        <w:t xml:space="preserve">の使命を支援し、安定した長期キャッシュフローと財務健全性の向上を確保します。</w:t>
      </w:r>
      <w:r>
        <w:rPr>
          <w:rFonts w:ascii="Times New Roman" w:hAnsi="Times New Roman"/>
          <w:sz w:val="20"/>
        </w:rPr>
        <w:t xml:space="preserve"> </w:t>
      </w:r>
      <w:r>
        <w:rPr>
          <w:rFonts w:ascii="ＭＳ 明朝" w:hAnsi="ＭＳ 明朝"/>
          <w:sz w:val="20"/>
        </w:rPr>
        <w:t xml:space="preserve">これは再生可能エネルギー発電に大きく貢献するもので、</w:t>
      </w:r>
      <w:r>
        <w:rPr>
          <w:rFonts w:ascii="Times New Roman" w:hAnsi="Times New Roman"/>
          <w:sz w:val="20"/>
        </w:rPr>
        <w:t xml:space="preserve">Avaada</w:t>
      </w:r>
      <w:r>
        <w:rPr>
          <w:rFonts w:ascii="ＭＳ 明朝" w:hAnsi="ＭＳ 明朝"/>
          <w:sz w:val="20"/>
        </w:rPr>
        <w:t xml:space="preserve">は地球規模で二酸化炭素排出量をより効果的に削減することができます。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インド政府によって設立された開発金融専門機関の</w:t>
      </w:r>
      <w:r>
        <w:rPr>
          <w:rFonts w:ascii="Times New Roman" w:hAnsi="Times New Roman"/>
          <w:sz w:val="20"/>
        </w:rPr>
        <w:t xml:space="preserve">NaBFID</w:t>
      </w:r>
      <w:r>
        <w:rPr>
          <w:rFonts w:ascii="ＭＳ 明朝" w:hAnsi="ＭＳ 明朝"/>
          <w:sz w:val="20"/>
        </w:rPr>
        <w:t xml:space="preserve">からの融資は、既存ローンの繰り上げ返済を可能にし、複数の貸し手に成功裏に出口を提供しました。期間</w:t>
      </w:r>
      <w:r>
        <w:rPr>
          <w:rFonts w:ascii="Times New Roman" w:hAnsi="Times New Roman"/>
          <w:sz w:val="20"/>
        </w:rPr>
        <w:t xml:space="preserve">20</w:t>
      </w:r>
      <w:r>
        <w:rPr>
          <w:rFonts w:ascii="ＭＳ 明朝" w:hAnsi="ＭＳ 明朝"/>
          <w:sz w:val="20"/>
        </w:rPr>
        <w:t xml:space="preserve">年の</w:t>
      </w:r>
      <w:r>
        <w:rPr>
          <w:rFonts w:ascii="Times New Roman" w:hAnsi="Times New Roman"/>
          <w:sz w:val="20"/>
        </w:rPr>
        <w:t xml:space="preserve">Rupee Term Loan</w:t>
      </w:r>
      <w:r>
        <w:rPr>
          <w:rFonts w:ascii="ＭＳ 明朝" w:hAnsi="ＭＳ 明朝"/>
          <w:sz w:val="20"/>
        </w:rPr>
        <w:t xml:space="preserve">（</w:t>
      </w:r>
      <w:r>
        <w:rPr>
          <w:rFonts w:ascii="Times New Roman" w:hAnsi="Times New Roman"/>
          <w:sz w:val="20"/>
        </w:rPr>
        <w:t xml:space="preserve">RTL</w:t>
      </w:r>
      <w:r>
        <w:rPr>
          <w:rFonts w:ascii="ＭＳ 明朝" w:hAnsi="ＭＳ 明朝"/>
          <w:sz w:val="20"/>
        </w:rPr>
        <w:t xml:space="preserve">）ファシリティーとして認可、実行されたこのファシリティーは、繰り上げ返済された以前のファシリティーと比べて商業的に大幅な改善を達成しています。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b/>
          <w:sz w:val="20"/>
        </w:rPr>
        <w:t xml:space="preserve">Avaada Group</w:t>
      </w:r>
      <w:r>
        <w:rPr>
          <w:rFonts w:ascii="ＭＳ 明朝" w:hAnsi="ＭＳ 明朝"/>
          <w:b/>
          <w:sz w:val="20"/>
        </w:rPr>
        <w:t xml:space="preserve">の</w:t>
      </w:r>
      <w:r>
        <w:rPr>
          <w:rFonts w:ascii="Times New Roman" w:hAnsi="Times New Roman"/>
          <w:b/>
          <w:sz w:val="20"/>
        </w:rPr>
        <w:t xml:space="preserve">Vineet Mittal</w:t>
      </w:r>
      <w:r>
        <w:rPr>
          <w:rFonts w:ascii="ＭＳ 明朝" w:hAnsi="ＭＳ 明朝"/>
          <w:b/>
          <w:sz w:val="20"/>
        </w:rPr>
        <w:t xml:space="preserve">会長</w:t>
      </w:r>
      <w:r>
        <w:rPr>
          <w:rFonts w:ascii="ＭＳ 明朝" w:hAnsi="ＭＳ 明朝"/>
          <w:sz w:val="20"/>
        </w:rPr>
        <w:t xml:space="preserve">はこの素晴らしい実績についてコメントし「当社は、ラジャスタン州における最大の営業資産</w:t>
      </w:r>
      <w:r>
        <w:rPr>
          <w:rFonts w:ascii="Times New Roman" w:hAnsi="Times New Roman"/>
          <w:sz w:val="20"/>
        </w:rPr>
        <w:t xml:space="preserve">4</w:t>
      </w:r>
      <w:r>
        <w:rPr>
          <w:rFonts w:ascii="ＭＳ 明朝" w:hAnsi="ＭＳ 明朝"/>
          <w:sz w:val="20"/>
        </w:rPr>
        <w:t xml:space="preserve">件の借り換えにより、大きな節目を達成しました。これらの資産は約</w:t>
      </w:r>
      <w:r>
        <w:rPr>
          <w:rFonts w:ascii="Times New Roman" w:hAnsi="Times New Roman"/>
          <w:sz w:val="20"/>
        </w:rPr>
        <w:t xml:space="preserve">2</w:t>
      </w:r>
      <w:r>
        <w:rPr>
          <w:rFonts w:ascii="ＭＳ 明朝" w:hAnsi="ＭＳ 明朝"/>
          <w:sz w:val="20"/>
        </w:rPr>
        <w:t xml:space="preserve">年前から稼働しています。これは、インドの再生可能エネルギー市場で行われた最大規模の取引の</w:t>
      </w:r>
      <w:r>
        <w:rPr>
          <w:rFonts w:ascii="Times New Roman" w:hAnsi="Times New Roman"/>
          <w:sz w:val="20"/>
        </w:rPr>
        <w:t xml:space="preserve">1</w:t>
      </w:r>
      <w:r>
        <w:rPr>
          <w:rFonts w:ascii="ＭＳ 明朝" w:hAnsi="ＭＳ 明朝"/>
          <w:sz w:val="20"/>
        </w:rPr>
        <w:t xml:space="preserve">つであり、既存の貸し手に返済し、</w:t>
      </w:r>
      <w:r>
        <w:rPr>
          <w:rFonts w:ascii="Times New Roman" w:hAnsi="Times New Roman"/>
          <w:sz w:val="20"/>
        </w:rPr>
        <w:t xml:space="preserve">NaBFID</w:t>
      </w:r>
      <w:r>
        <w:rPr>
          <w:rFonts w:ascii="ＭＳ 明朝" w:hAnsi="ＭＳ 明朝"/>
          <w:sz w:val="20"/>
        </w:rPr>
        <w:t xml:space="preserve">を新たな単一の貸し手として迎えることができます。この成果は、安定した長期キャッシュフローを提供する再生可能エネルギー・プロジェクトの支援に対する金融機関の強い関心を浮き彫りにするものです。運用資産に対するより良い金利を確保することで、全ての利害関係者に価値を提供しながら、当社の収益がさらに強化されます」と述べ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b/>
          <w:sz w:val="20"/>
        </w:rPr>
        <w:t xml:space="preserve">▽</w:t>
      </w:r>
      <w:r>
        <w:rPr>
          <w:rFonts w:ascii="Times New Roman" w:hAnsi="Times New Roman"/>
          <w:b/>
          <w:sz w:val="20"/>
        </w:rPr>
        <w:t xml:space="preserve">Avaada Group</w:t>
      </w:r>
      <w:r>
        <w:rPr>
          <w:rFonts w:ascii="ＭＳ 明朝" w:hAnsi="ＭＳ 明朝"/>
          <w:b/>
          <w:sz w:val="20"/>
        </w:rPr>
        <w:t xml:space="preserve">について</w:t>
      </w:r>
    </w:p>
    <w:p>
      <w:pPr>
        <w:spacing w:before="0" w:after="0"/>
        <w:ind w:left="0" w:right="0"/>
        <w:jc w:val="both"/>
      </w:pPr>
      <w:r>
        <w:rPr>
          <w:rFonts w:ascii="Times New Roman" w:hAnsi="Times New Roman"/>
          <w:sz w:val="20"/>
        </w:rPr>
        <w:t xml:space="preserve">Avaada Group</w:t>
      </w:r>
      <w:r>
        <w:rPr>
          <w:rFonts w:ascii="ＭＳ 明朝" w:hAnsi="ＭＳ 明朝"/>
          <w:sz w:val="20"/>
        </w:rPr>
        <w:t xml:space="preserve">は、再生可能エネルギー発電、太陽光発電の製造、グリーンアンモニア、グリーンメタノール、持続可能な航空燃料などのグリーン燃料の開発、エネルギー貯蔵ソリューションの提供など、エネルギー転換の最前線に位置しています。</w:t>
      </w:r>
      <w:r>
        <w:rPr>
          <w:rFonts w:ascii="Times New Roman" w:hAnsi="Times New Roman"/>
          <w:sz w:val="20"/>
        </w:rPr>
        <w:t xml:space="preserve">Vineet Mittal</w:t>
      </w:r>
      <w:r>
        <w:rPr>
          <w:rFonts w:ascii="ＭＳ 明朝" w:hAnsi="ＭＳ 明朝"/>
          <w:sz w:val="20"/>
        </w:rPr>
        <w:t xml:space="preserve">氏のリーダーシップの下、同グループは大規模なグローバルエネルギープレーヤーとなりました。再生可能エネルギー発電部門の</w:t>
      </w:r>
      <w:r>
        <w:rPr>
          <w:rFonts w:ascii="Times New Roman" w:hAnsi="Times New Roman"/>
          <w:sz w:val="20"/>
        </w:rPr>
        <w:t xml:space="preserve">Avaada Energy</w:t>
      </w:r>
      <w:r>
        <w:rPr>
          <w:rFonts w:ascii="ＭＳ 明朝" w:hAnsi="ＭＳ 明朝"/>
          <w:sz w:val="20"/>
        </w:rPr>
        <w:t xml:space="preserve">は、</w:t>
      </w:r>
      <w:r>
        <w:rPr>
          <w:rFonts w:ascii="Times New Roman" w:hAnsi="Times New Roman"/>
          <w:sz w:val="20"/>
        </w:rPr>
        <w:t xml:space="preserve">2026</w:t>
      </w:r>
      <w:r>
        <w:rPr>
          <w:rFonts w:ascii="ＭＳ 明朝" w:hAnsi="ＭＳ 明朝"/>
          <w:sz w:val="20"/>
        </w:rPr>
        <w:t xml:space="preserve">年までに</w:t>
      </w:r>
      <w:r>
        <w:rPr>
          <w:rFonts w:ascii="Times New Roman" w:hAnsi="Times New Roman"/>
          <w:sz w:val="20"/>
        </w:rPr>
        <w:t xml:space="preserve">11GWp</w:t>
      </w:r>
      <w:r>
        <w:rPr>
          <w:rFonts w:ascii="ＭＳ 明朝" w:hAnsi="ＭＳ 明朝"/>
          <w:sz w:val="20"/>
        </w:rPr>
        <w:t xml:space="preserve">の発電能力の達成を目指しています。</w:t>
      </w:r>
      <w:r>
        <w:rPr>
          <w:rFonts w:ascii="Times New Roman" w:hAnsi="Times New Roman"/>
          <w:sz w:val="20"/>
        </w:rPr>
        <w:t xml:space="preserve">Avaada</w:t>
      </w:r>
      <w:r>
        <w:rPr>
          <w:rFonts w:ascii="ＭＳ 明朝" w:hAnsi="ＭＳ 明朝"/>
          <w:sz w:val="20"/>
        </w:rPr>
        <w:t xml:space="preserve">の強固な実行力と実績は、</w:t>
      </w:r>
      <w:r>
        <w:rPr>
          <w:rFonts w:ascii="Times New Roman" w:hAnsi="Times New Roman"/>
          <w:sz w:val="20"/>
        </w:rPr>
        <w:t xml:space="preserve">2023</w:t>
      </w:r>
      <w:r>
        <w:rPr>
          <w:rFonts w:ascii="ＭＳ 明朝" w:hAnsi="ＭＳ 明朝"/>
          <w:sz w:val="20"/>
        </w:rPr>
        <w:t xml:space="preserve">年に</w:t>
      </w:r>
      <w:r>
        <w:rPr>
          <w:rFonts w:ascii="Times New Roman" w:hAnsi="Times New Roman"/>
          <w:sz w:val="20"/>
        </w:rPr>
        <w:t xml:space="preserve">Brookfield</w:t>
      </w:r>
      <w:r>
        <w:rPr>
          <w:rFonts w:ascii="ＭＳ 明朝" w:hAnsi="ＭＳ 明朝"/>
          <w:sz w:val="20"/>
        </w:rPr>
        <w:t xml:space="preserve">の</w:t>
      </w:r>
      <w:r>
        <w:rPr>
          <w:rFonts w:ascii="Times New Roman" w:hAnsi="Times New Roman"/>
          <w:sz w:val="20"/>
        </w:rPr>
        <w:t xml:space="preserve">Energy Transition Fund</w:t>
      </w:r>
      <w:r>
        <w:rPr>
          <w:rFonts w:ascii="ＭＳ 明朝" w:hAnsi="ＭＳ 明朝"/>
          <w:sz w:val="20"/>
        </w:rPr>
        <w:t xml:space="preserve">から</w:t>
      </w:r>
      <w:r>
        <w:rPr>
          <w:rFonts w:ascii="Times New Roman" w:hAnsi="Times New Roman"/>
          <w:sz w:val="20"/>
        </w:rPr>
        <w:t xml:space="preserve">10</w:t>
      </w:r>
      <w:r>
        <w:rPr>
          <w:rFonts w:ascii="ＭＳ 明朝" w:hAnsi="ＭＳ 明朝"/>
          <w:sz w:val="20"/>
        </w:rPr>
        <w:t xml:space="preserve">億米ドル、タイの</w:t>
      </w:r>
      <w:r>
        <w:rPr>
          <w:rFonts w:ascii="Times New Roman" w:hAnsi="Times New Roman"/>
          <w:sz w:val="20"/>
        </w:rPr>
        <w:t xml:space="preserve">PTT Group</w:t>
      </w:r>
      <w:r>
        <w:rPr>
          <w:rFonts w:ascii="ＭＳ 明朝" w:hAnsi="ＭＳ 明朝"/>
          <w:sz w:val="20"/>
        </w:rPr>
        <w:t xml:space="preserve">傘下の</w:t>
      </w:r>
      <w:r>
        <w:rPr>
          <w:rFonts w:ascii="Times New Roman" w:hAnsi="Times New Roman"/>
          <w:sz w:val="20"/>
        </w:rPr>
        <w:t xml:space="preserve">GPSC</w:t>
      </w:r>
      <w:r>
        <w:rPr>
          <w:rFonts w:ascii="ＭＳ 明朝" w:hAnsi="ＭＳ 明朝"/>
          <w:sz w:val="20"/>
        </w:rPr>
        <w:t xml:space="preserve">から</w:t>
      </w:r>
      <w:r>
        <w:rPr>
          <w:rFonts w:ascii="Times New Roman" w:hAnsi="Times New Roman"/>
          <w:sz w:val="20"/>
        </w:rPr>
        <w:t xml:space="preserve">3</w:t>
      </w:r>
      <w:r>
        <w:rPr>
          <w:rFonts w:ascii="ＭＳ 明朝" w:hAnsi="ＭＳ 明朝"/>
          <w:sz w:val="20"/>
        </w:rPr>
        <w:t xml:space="preserve">億ドルの計</w:t>
      </w:r>
      <w:r>
        <w:rPr>
          <w:rFonts w:ascii="Times New Roman" w:hAnsi="Times New Roman"/>
          <w:sz w:val="20"/>
        </w:rPr>
        <w:t xml:space="preserve">13</w:t>
      </w:r>
      <w:r>
        <w:rPr>
          <w:rFonts w:ascii="ＭＳ 明朝" w:hAnsi="ＭＳ 明朝"/>
          <w:sz w:val="20"/>
        </w:rPr>
        <w:t xml:space="preserve">億米ドルの投資約束を受けるなど、大規模な国際的投資を引き付けています。</w:t>
      </w:r>
    </w:p>
    <w:p>
      <w:pPr>
        <w:spacing w:before="161" w:after="0"/>
        <w:ind w:left="0" w:right="255"/>
        <w:jc w:val="both"/>
      </w:pPr>
      <w:r>
        <w:rPr>
          <w:rFonts w:ascii="Times New Roman" w:hAnsi="Times New Roman"/>
          <w:sz w:val="20"/>
        </w:rPr>
        <w:t xml:space="preserve"> </w:t>
      </w:r>
    </w:p>
    <w:p>
      <w:pPr>
        <w:spacing w:before="161" w:after="0"/>
        <w:ind w:left="0" w:right="255"/>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Website: </w:t>
      </w:r>
      <w:hyperlink xmlns:r="http://schemas.openxmlformats.org/officeDocument/2006/relationships" w:history="true" r:id="R200d938a45d84daf">
        <w:r>
          <w:rPr>
            <w:rStyle w:val="Hyperlink"/>
            <w:rFonts w:ascii="Times New Roman" w:hAnsi="Times New Roman"/>
            <w:color w:val="0000FF"/>
            <w:sz w:val="20"/>
          </w:rPr>
          <w:t xml:space="preserve">www.avaada.com</w:t>
        </w:r>
      </w:hyperlink>
    </w:p>
    <w:p>
      <w:pPr>
        <w:spacing w:before="0" w:after="0"/>
        <w:ind w:left="0" w:right="0"/>
        <w:jc w:val="both"/>
      </w:pPr>
      <w:r>
        <w:rPr>
          <w:rFonts w:ascii="Times New Roman" w:hAnsi="Times New Roman"/>
          <w:sz w:val="20"/>
        </w:rPr>
        <w:t xml:space="preserve">Twitter: @avaadagroup</w:t>
      </w:r>
    </w:p>
    <w:p>
      <w:pPr>
        <w:spacing w:before="0" w:after="0"/>
        <w:ind w:left="0" w:right="0"/>
        <w:jc w:val="both"/>
      </w:pPr>
      <w:r>
        <w:rPr>
          <w:rFonts w:ascii="Times New Roman" w:hAnsi="Times New Roman"/>
          <w:sz w:val="20"/>
        </w:rPr>
        <w:t xml:space="preserve">Facebook: @AvaadaGroup</w:t>
      </w:r>
    </w:p>
    <w:p>
      <w:pPr>
        <w:spacing w:before="0" w:after="0"/>
        <w:ind w:left="0" w:right="0"/>
        <w:jc w:val="both"/>
      </w:pPr>
      <w:r>
        <w:rPr>
          <w:rFonts w:ascii="Times New Roman" w:hAnsi="Times New Roman"/>
          <w:sz w:val="20"/>
        </w:rPr>
        <w:t xml:space="preserve">LinkedIn: @AvaadaGroup</w:t>
      </w:r>
    </w:p>
    <w:p>
      <w:pPr>
        <w:spacing w:before="161" w:after="0"/>
        <w:ind w:left="0" w:right="255"/>
        <w:jc w:val="both"/>
      </w:pPr>
      <w:r>
        <w:rPr>
          <w:rFonts w:ascii="Times New Roman" w:hAnsi="Times New Roman"/>
          <w:sz w:val="20"/>
        </w:rPr>
        <w:t xml:space="preserve"> </w:t>
      </w:r>
    </w:p>
    <w:p>
      <w:pPr>
        <w:spacing w:before="161" w:after="0"/>
        <w:ind w:left="0" w:right="255"/>
        <w:jc w:val="both"/>
      </w:pPr>
      <w:r>
        <w:rPr>
          <w:rFonts w:ascii="ＭＳ 明朝" w:hAnsi="ＭＳ 明朝"/>
          <w:sz w:val="20"/>
        </w:rPr>
        <w:t xml:space="preserve">ソース：</w:t>
      </w:r>
      <w:r>
        <w:rPr>
          <w:rFonts w:ascii="Times New Roman" w:hAnsi="Times New Roman"/>
          <w:sz w:val="20"/>
        </w:rPr>
        <w:t xml:space="preserve">Avaada Group</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www.avaada.com/" TargetMode="External" Id="R200d938a45d84daf" /><Relationship Type="http://schemas.openxmlformats.org/officeDocument/2006/relationships/styles" Target="/word/styles.xml" Id="R197409ccd6924ffe" /></Relationships>
</file>